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28.08.2024 N 1154</w:t>
              <w:br/>
              <w:t xml:space="preserve">"О внесении изменений в постановление Правительства Российской Федерации от 10 марта 2022 г. N 336"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августа 2024 г. N 1154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прилагаемые </w:t>
      </w:r>
      <w:hyperlink w:history="0" w:anchor="P26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7" w:tooltip="Постановление Правительства РФ от 10.03.2022 N 336 (ред. от 18.07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2023, N 42, ст. 7500; 2024, N 22, ст. 2961).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28 августа 2024 г. N 1154</w:t>
      </w:r>
    </w:p>
    <w:p>
      <w:pPr>
        <w:pStyle w:val="0"/>
        <w:jc w:val="center"/>
      </w:pPr>
      <w:r>
        <w:rPr>
          <w:sz w:val="20"/>
        </w:rPr>
      </w:r>
    </w:p>
    <w:bookmarkStart w:id="26" w:name="P26"/>
    <w:bookmarkEnd w:id="26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10 МАРТА 2022 Г. N 336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</w:t>
      </w:r>
      <w:hyperlink w:history="0" r:id="rId8" w:tooltip="Постановление Правительства РФ от 10.03.2022 N 336 (ред. от 18.07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11(9)</w:t>
        </w:r>
      </w:hyperlink>
      <w:r>
        <w:rPr>
          <w:sz w:val="20"/>
        </w:rPr>
        <w:t xml:space="preserve"> слова "приложениями N 1 - 3" заменить словами "приложениями N 1 - 4".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r:id="rId9" w:tooltip="Постановление Правительства РФ от 10.03.2022 N 336 (ред. от 18.07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пунктами 11(15) - 11(20)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"11(15). Установить, что с 1 сентября 2024 г. до 1 сентября 2026 г. к предмету федерального государственного контроля (надзора), установленного пунктом 15 статьи 46 Федерального закона "О техническом регулировании", относятся обязательные требования к видам продукции, указанным в приложении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приложением N 4 к настоящему постановлению (далее - продукция), и связанным с требованиями к этой продукции процессам.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пунктом 15 статьи 46 Федерального закона "О техническом регулировании", в соответствии с требованиями настоящего постановления с учетом особенностей, предусмотренных приложением N 4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статьей 53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пунктом 1 части 10 статьи 23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пунктом 15 статьи 46 Федерального закона "О техническом регулировании".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позднее чем за 3 месяца до окончания срока, установленного пунктом 11(15)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r:id="rId10" w:tooltip="Постановление Правительства РФ от 10.03.2022 N 336 (ред. от 18.07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N 4 следующего содержания: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"Приложение N 4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ОСОБЕННОСТИ</w:t>
      </w:r>
    </w:p>
    <w:p>
      <w:pPr>
        <w:pStyle w:val="0"/>
        <w:jc w:val="center"/>
      </w:pPr>
      <w:r>
        <w:rPr>
          <w:sz w:val="20"/>
        </w:rPr>
        <w:t xml:space="preserve">ОЦЕНКИ СОБЛЮДЕНИЯ ОБЯЗАТЕЛЬНЫХ ТРЕБОВАНИЙ,</w:t>
      </w:r>
    </w:p>
    <w:p>
      <w:pPr>
        <w:pStyle w:val="0"/>
        <w:jc w:val="center"/>
      </w:pPr>
      <w:r>
        <w:rPr>
          <w:sz w:val="20"/>
        </w:rPr>
        <w:t xml:space="preserve">УСТАНОВЛЕННЫХ ТЕХНИЧЕСКИМИ РЕГЛАМЕНТАМИ В ОТНОШЕНИИ</w:t>
      </w:r>
    </w:p>
    <w:p>
      <w:pPr>
        <w:pStyle w:val="0"/>
        <w:jc w:val="center"/>
      </w:pPr>
      <w:r>
        <w:rPr>
          <w:sz w:val="20"/>
        </w:rPr>
        <w:t xml:space="preserve">КОЛЕСНЫХ ТРАНСПОРТНЫХ СРЕДСТВ (ШАССИ) И КОМПОНЕНТОВ</w:t>
      </w:r>
    </w:p>
    <w:p>
      <w:pPr>
        <w:pStyle w:val="0"/>
        <w:jc w:val="center"/>
      </w:pPr>
      <w:r>
        <w:rPr>
          <w:sz w:val="20"/>
        </w:rPr>
        <w:t xml:space="preserve">ТРАНСПОРТНЫХ СРЕДСТВ (ШАССИ), НАХОДЯЩИХСЯ В ОБРАЩЕНИИ</w:t>
      </w:r>
    </w:p>
    <w:p>
      <w:pPr>
        <w:pStyle w:val="0"/>
        <w:jc w:val="center"/>
      </w:pPr>
      <w:r>
        <w:rPr>
          <w:sz w:val="20"/>
        </w:rPr>
        <w:t xml:space="preserve">(ДО НАЧАЛА ИХ ЭКСПЛУАТАЦИИ), АВТОМОБИЛЬНОГО БЕНЗИНА,</w:t>
      </w:r>
    </w:p>
    <w:p>
      <w:pPr>
        <w:pStyle w:val="0"/>
        <w:jc w:val="center"/>
      </w:pPr>
      <w:r>
        <w:rPr>
          <w:sz w:val="20"/>
        </w:rPr>
        <w:t xml:space="preserve">ДИЗЕЛЬНОГО ТОПЛИВА, СУДОВОГО ТОПЛИВА И МАЗУТА,</w:t>
      </w:r>
    </w:p>
    <w:p>
      <w:pPr>
        <w:pStyle w:val="0"/>
        <w:jc w:val="center"/>
      </w:pPr>
      <w:r>
        <w:rPr>
          <w:sz w:val="20"/>
        </w:rPr>
        <w:t xml:space="preserve">ИЛИ ОБЯЗАТЕЛЬНЫХ ТРЕБОВАНИЙ, ПОДЛЕЖАЩИХ ПРИМЕНЕНИЮ</w:t>
      </w:r>
    </w:p>
    <w:p>
      <w:pPr>
        <w:pStyle w:val="0"/>
        <w:jc w:val="center"/>
      </w:pPr>
      <w:r>
        <w:rPr>
          <w:sz w:val="20"/>
        </w:rPr>
        <w:t xml:space="preserve">ДО ДНЯ ВСТУПЛЕНИЯ В СИЛУ ТЕХНИЧЕСКИХ РЕГЛАМЕНТОВ</w:t>
      </w:r>
    </w:p>
    <w:p>
      <w:pPr>
        <w:pStyle w:val="0"/>
        <w:jc w:val="center"/>
      </w:pPr>
      <w:r>
        <w:rPr>
          <w:sz w:val="20"/>
        </w:rPr>
        <w:t xml:space="preserve">В СООТВЕТСТВИИ С ФЕДЕРАЛЬНЫМ ЗАКОНОМ "О ТЕХНИЧЕСКОМ</w:t>
      </w:r>
    </w:p>
    <w:p>
      <w:pPr>
        <w:pStyle w:val="0"/>
        <w:jc w:val="center"/>
      </w:pPr>
      <w:r>
        <w:rPr>
          <w:sz w:val="20"/>
        </w:rPr>
        <w:t xml:space="preserve">РЕГУЛИРОВАНИИ", В ОТНОШЕНИИ ЭЛЕКТРИЧЕСКОЙ ЭНЕРГИИ</w:t>
      </w:r>
    </w:p>
    <w:p>
      <w:pPr>
        <w:pStyle w:val="0"/>
        <w:jc w:val="center"/>
      </w:pPr>
      <w:r>
        <w:rPr>
          <w:sz w:val="20"/>
        </w:rPr>
        <w:t xml:space="preserve">В ЭЛЕКТРИЧЕСКИХ СЕТЯХ ОБЩЕГО НАЗНАЧЕНИЯ ПЕРЕМЕННОГО</w:t>
      </w:r>
    </w:p>
    <w:p>
      <w:pPr>
        <w:pStyle w:val="0"/>
        <w:jc w:val="center"/>
      </w:pPr>
      <w:r>
        <w:rPr>
          <w:sz w:val="20"/>
        </w:rPr>
        <w:t xml:space="preserve">ТРЕХФАЗНОГО И ОДНОФАЗНОГО ТОКА ЧАСТОТОЙ 50 ГЦ,</w:t>
      </w:r>
    </w:p>
    <w:p>
      <w:pPr>
        <w:pStyle w:val="0"/>
        <w:jc w:val="center"/>
      </w:pPr>
      <w:r>
        <w:rPr>
          <w:sz w:val="20"/>
        </w:rPr>
        <w:t xml:space="preserve">В ОТНОШЕНИИ ПРОДУКЦИИ И СВЯЗАННЫХ С ТРЕБОВАНИЯМИ</w:t>
      </w:r>
    </w:p>
    <w:p>
      <w:pPr>
        <w:pStyle w:val="0"/>
        <w:jc w:val="center"/>
      </w:pPr>
      <w:r>
        <w:rPr>
          <w:sz w:val="20"/>
        </w:rPr>
        <w:t xml:space="preserve">К ПРОДУКЦИИ ПРОЦЕССОВ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Объектом оценки соблюдения обязательных требований в отношении видов продукции по перечню согласно приложению (далее - продукция), осуществляемой в рамках федерального государственного контроля (надзора), установленного пунктом 15 статьи 46 Федерального закона "О техническом регулировании",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пункта 1 части 1 статьи 16 Федерального закона "О государственном контроле (надзоре) и муниципальном контроле в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продукция - в рамках пункта 2 части 1 статьи 16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Предметом федерального государственного контроля (надзора), установленного пунктом 15 статьи 46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статьями 4 - 8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отношении кабелей, проводов и шнуров на стадиях обращения, разработки (проектирования) и изготовления (производства) - статьями 3 - 8 ТР ТС 004/2011;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пунктами 15.1 - 15.3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пунктами 8.1 и 9.1 - 9.8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стадии производства: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1 и 2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1 - 4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1 - 4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1.3.1 - 1.3.15, 1.4 и разделами 2 - 4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5.1 и 5.2, разделами 6 и 7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5.1 и 5.4 и разделами 6 - 10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5.1 - 5.15, разделами 6, 7 и 9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5.1 - 5.10, разделами 6 и 7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5.1 - 5.4 и разделами 6 - 8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5.1 - 5.3, разделами 6, 7 и 9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4, 6 - 13 и 15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5, 6, 9, 10 и 12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стадии обращения: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разделом 1 и пунктами 4.2 - 4.4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1, 3 и 4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1, 3 и 4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1.3 и 1.4, разделами 3 и 4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5, 6 и 8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5 - 7 и 9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5, 6, 8 и 9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5, 6 и 8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5, 7 и 8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5, 6 и 8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4, 6 - 10, 12 и 13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5 - 9, 11 и 12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в отношении радиаторов центрального отопления и их секций чугунных на стадиях производства и обращения - пунктами 5.1 - 5.7, 5.17, 5.18, 6.1 и 6.2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в отношении радиаторов центрального отопления и их секций стальных на стадиях производства и обращения - пунктами 5.1 - 5.7, 5.9, 5.17, 5.18, 6.1 и 6.2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в отношении радиаторов центрального отопления и их секций биметаллических на стадиях производства и обращения - пунктами 5.1 - 5.7, 5.17, 5.18, 6.1 и 6.2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в отношении радиаторов центрального отопления и их секций алюминиевых на стадиях производства и обращения - пунктами 5.1 - 5.7, 5.11, 5.17, 5.18, 6.1 и 6.2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в отношении радиаторов центрального отопления и их секций из прочих металлов на стадиях производства и обращения - пунктами 5.1 - 5.7, 5.17, 5.18, 6.1 и 6.2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в отношении конвекторов отопительных чугунных на стадиях производства и обращения - пунктами 5.1 - 5.7, 5.13, 5.17, 5.18, 6.1 и 6.2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в отношении конвекторов отопительных из прочих металлов на стадиях производства и обращения - пунктами 5.1 - 5.7, 5.13, 5.17, 5.18, 6.1 и 6.2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в отношении конвекторов отопительных стальных на стадиях производства и обращения - пунктами 5.1 - 5.7, 5.13, 5.17, 5.18, 6.1 и 6.2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в отношении смесей сухих строительных: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стадии производства: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4.7 - 4.11, 4.13 - 4.18 и 4.20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разделом 5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4.1 - 4.4, 4.5.2 - 4.6.2 и 4.3 (за исключением требований к капиллярному водопоглощению), 4.6.4, 4.7 и разделом 5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разделом 5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4.1 - 4.4.1, 4.4.3 - 4.9 и разделом 5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4.1 - 4.4.1, 4.4.3 - 4.6.4, 4.6.6 - 4.9 и разделом 5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разделом 5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4.1 - 4.9 и разделом 5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4.1 - 4.4.2, 4.5.2 - 4.5.5, 4.6, 4.7, 5.2 и 5.3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4.1 - 4.4.1, 4.5.2 - 4.5.4, 4.6 - 4.8, 5.2 и 5.3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4.1 - 4.4.1, 4.4.3 - 4.6, 4.8 и разделом 5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 и 4.5 - 4.8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4.1 - 4.5.1, 4.6 - 4.9 и разделом 5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4.4.1, 4.4.3 - 4.8 и разделом 5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4.4.1, 4.4.3 - 4.8 и разделом 5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4.4.1, 4.4.3 - 4.8 и разделом 5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4.5, 4.6.2, 4.6.3, 4.7, 4.8, 4.9.1 - 4.9.3, 4.9.5 и разделом 5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4.1 - 4.2.3, 4.4 - 4.5 и разделом 5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стадии обращения: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4.7 - 4.11, 4.13 - 4.18 и 4.20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разделом 5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4.1 - 4.4, 4.5.2 - 4.6.2, 4.6.4, 4.7, 4.8 и разделом 5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разделом 5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4.1 - 4.4.1, 4.4.3 - 4.9 и разделом 5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4.1 - 4.4.1, 4.4.3 - 4.6.4, 4.6.6 - 4.7, 4.8, 4.9 и разделом 5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разделом 5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разделами 4 и 5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4.1 - 4.4.2, 4.5.2 - 4.5.5, 4.6, 4.7, 4.8, 5.2 и 5.3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4.1 - 4.4.1, 4.5.2 - 4.5.4, 4.6 - 4.7, 4.8, 5.2 и 5.3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4.1 - 4.4.1, 4.4.3 - 4.6.5, 4.8 и разделом 5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 и 4.5 - 4.8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4.1 - 4.5.1, 4.6 - 4.9 и разделом 5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4.4.1, 4.4.3 - 4.7, 4.8 и разделом 5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4.4.1, 4.4.3 - 4.7, 4.8 и разделом 5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4.4.1, 4.4.3 - 4.7, 4.8 и разделом 5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4.1 - 4.3, 4.5, 4.6.2, 4.6.3, 4.7, 4.8, 4.9.1, 4.9.2, 4.9.3, 4.9.5 и разделом 5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пунктами 4.1 - 4.2.3, 4.4 - 4.5 и разделом 5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п) в отношении растворов строительных на стадиях производства и обращения - пунктами 4.1 - 4.7, 4.9 - 4.14.1, 4.14.3 - 4.14.6, 4.14.8 - 4.14.14 и 4.15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р) в отношении смесей бетонных: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стадии производства - разделами 5 - 7 и 10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стадии обращения - разделами 5 и 7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Решением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Учет объектов государственного контроля (надзора) осуществляется на основании: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информации, получаемой в рамках межведомственного взаимодействия;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общедоступной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информации, получаемой от отраслевых ассоциаций (объединений, союзов);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пунктом 15 статьи 46 Федерального закона "О техническом регулировании",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абзацами вторым - пятым и одиннадцатым подпункта "а" пункта 3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абзацами вторым - пятым подпункта "б" пункта 3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пунктом 11(17)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пунктом 15 статьи 46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Целевое значение доли продукции, не соответствующей обязательным требованиям, без учета динамики рынка определяется: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2024 года - как снижение не менее чем на 5 процентов по отношению к показателю, установленному по результатам 2023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2025 года - как снижение не менее чем на 5 процентов по отношению к показателю, установленному по результатам 2024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итогам 2026 года - как снижение не менее чем на 5 процентов по отношению к показателю, установленному по результатам 2025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position w:val="-5"/>
        </w:rPr>
        <w:drawing>
          <wp:inline distT="0" distB="0" distL="0" distR="0">
            <wp:extent cx="638175" cy="2000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ЦЗ - целевое значение доли продукции, не соответствующей обязательным требованиям (процентов);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ФЗ - фактическое значение доли продукции, не соответствующей обязательным требованиям (процентов), рассчитываемое по формуле: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БЗ - проценты снижения,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БЗ - базовое значение доли продукции, не соответствующей обязательным требованиям (процентов);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особенностям оценки соблюдения</w:t>
      </w:r>
    </w:p>
    <w:p>
      <w:pPr>
        <w:pStyle w:val="0"/>
        <w:jc w:val="right"/>
      </w:pPr>
      <w:r>
        <w:rPr>
          <w:sz w:val="20"/>
        </w:rPr>
        <w:t xml:space="preserve">обязательных требований, установленных</w:t>
      </w:r>
    </w:p>
    <w:p>
      <w:pPr>
        <w:pStyle w:val="0"/>
        <w:jc w:val="right"/>
      </w:pPr>
      <w:r>
        <w:rPr>
          <w:sz w:val="20"/>
        </w:rPr>
        <w:t xml:space="preserve">техническими регламентами в отношении</w:t>
      </w:r>
    </w:p>
    <w:p>
      <w:pPr>
        <w:pStyle w:val="0"/>
        <w:jc w:val="right"/>
      </w:pPr>
      <w:r>
        <w:rPr>
          <w:sz w:val="20"/>
        </w:rPr>
        <w:t xml:space="preserve">колесных транспортных средств (шасси)</w:t>
      </w:r>
    </w:p>
    <w:p>
      <w:pPr>
        <w:pStyle w:val="0"/>
        <w:jc w:val="right"/>
      </w:pPr>
      <w:r>
        <w:rPr>
          <w:sz w:val="20"/>
        </w:rPr>
        <w:t xml:space="preserve">и компонентов транспортных средств</w:t>
      </w:r>
    </w:p>
    <w:p>
      <w:pPr>
        <w:pStyle w:val="0"/>
        <w:jc w:val="right"/>
      </w:pPr>
      <w:r>
        <w:rPr>
          <w:sz w:val="20"/>
        </w:rPr>
        <w:t xml:space="preserve">(шасси), находящихся в обращении</w:t>
      </w:r>
    </w:p>
    <w:p>
      <w:pPr>
        <w:pStyle w:val="0"/>
        <w:jc w:val="right"/>
      </w:pPr>
      <w:r>
        <w:rPr>
          <w:sz w:val="20"/>
        </w:rPr>
        <w:t xml:space="preserve">(до начала их эксплуатации),</w:t>
      </w:r>
    </w:p>
    <w:p>
      <w:pPr>
        <w:pStyle w:val="0"/>
        <w:jc w:val="right"/>
      </w:pPr>
      <w:r>
        <w:rPr>
          <w:sz w:val="20"/>
        </w:rPr>
        <w:t xml:space="preserve">автомобильного бензина, дизельного</w:t>
      </w:r>
    </w:p>
    <w:p>
      <w:pPr>
        <w:pStyle w:val="0"/>
        <w:jc w:val="right"/>
      </w:pPr>
      <w:r>
        <w:rPr>
          <w:sz w:val="20"/>
        </w:rPr>
        <w:t xml:space="preserve">топлива, судового топлива и мазута,</w:t>
      </w:r>
    </w:p>
    <w:p>
      <w:pPr>
        <w:pStyle w:val="0"/>
        <w:jc w:val="right"/>
      </w:pPr>
      <w:r>
        <w:rPr>
          <w:sz w:val="20"/>
        </w:rPr>
        <w:t xml:space="preserve">или обязательных требований, подлежащих</w:t>
      </w:r>
    </w:p>
    <w:p>
      <w:pPr>
        <w:pStyle w:val="0"/>
        <w:jc w:val="right"/>
      </w:pPr>
      <w:r>
        <w:rPr>
          <w:sz w:val="20"/>
        </w:rPr>
        <w:t xml:space="preserve">применению до дня вступления в силу</w:t>
      </w:r>
    </w:p>
    <w:p>
      <w:pPr>
        <w:pStyle w:val="0"/>
        <w:jc w:val="right"/>
      </w:pPr>
      <w:r>
        <w:rPr>
          <w:sz w:val="20"/>
        </w:rPr>
        <w:t xml:space="preserve">технических регламентов в соответствии</w:t>
      </w:r>
    </w:p>
    <w:p>
      <w:pPr>
        <w:pStyle w:val="0"/>
        <w:jc w:val="right"/>
      </w:pPr>
      <w:r>
        <w:rPr>
          <w:sz w:val="20"/>
        </w:rPr>
        <w:t xml:space="preserve">с Федеральным законом "О техническом</w:t>
      </w:r>
    </w:p>
    <w:p>
      <w:pPr>
        <w:pStyle w:val="0"/>
        <w:jc w:val="right"/>
      </w:pPr>
      <w:r>
        <w:rPr>
          <w:sz w:val="20"/>
        </w:rPr>
        <w:t xml:space="preserve">регулировании", в отношении электрической</w:t>
      </w:r>
    </w:p>
    <w:p>
      <w:pPr>
        <w:pStyle w:val="0"/>
        <w:jc w:val="right"/>
      </w:pPr>
      <w:r>
        <w:rPr>
          <w:sz w:val="20"/>
        </w:rPr>
        <w:t xml:space="preserve">энергии в электрических сетях общего</w:t>
      </w:r>
    </w:p>
    <w:p>
      <w:pPr>
        <w:pStyle w:val="0"/>
        <w:jc w:val="right"/>
      </w:pPr>
      <w:r>
        <w:rPr>
          <w:sz w:val="20"/>
        </w:rPr>
        <w:t xml:space="preserve">назначения переменного трехфазного</w:t>
      </w:r>
    </w:p>
    <w:p>
      <w:pPr>
        <w:pStyle w:val="0"/>
        <w:jc w:val="right"/>
      </w:pPr>
      <w:r>
        <w:rPr>
          <w:sz w:val="20"/>
        </w:rPr>
        <w:t xml:space="preserve">и однофазного тока частотой 50 Гц,</w:t>
      </w:r>
    </w:p>
    <w:p>
      <w:pPr>
        <w:pStyle w:val="0"/>
        <w:jc w:val="right"/>
      </w:pPr>
      <w:r>
        <w:rPr>
          <w:sz w:val="20"/>
        </w:rPr>
        <w:t xml:space="preserve">в отношении продукции и связанных</w:t>
      </w:r>
    </w:p>
    <w:p>
      <w:pPr>
        <w:pStyle w:val="0"/>
        <w:jc w:val="right"/>
      </w:pPr>
      <w:r>
        <w:rPr>
          <w:sz w:val="20"/>
        </w:rPr>
        <w:t xml:space="preserve">с требованиями к продукции процессов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ПЕРЕЧЕНЬ</w:t>
      </w:r>
    </w:p>
    <w:p>
      <w:pPr>
        <w:pStyle w:val="0"/>
        <w:jc w:val="center"/>
      </w:pPr>
      <w:r>
        <w:rPr>
          <w:sz w:val="20"/>
        </w:rPr>
        <w:t xml:space="preserve">ВИДОВ ПРОДУКЦИИ, ОЦЕНКА СОБЛЮДЕНИЯ ОБЯЗАТЕЛЬНЫХ</w:t>
      </w:r>
    </w:p>
    <w:p>
      <w:pPr>
        <w:pStyle w:val="0"/>
        <w:jc w:val="center"/>
      </w:pPr>
      <w:r>
        <w:rPr>
          <w:sz w:val="20"/>
        </w:rPr>
        <w:t xml:space="preserve">ТРЕБОВАНИЙ К КОТОРОЙ ОСУЩЕСТВЛЯЕТСЯ В РАМКАХ ФЕДЕРАЛЬНОГО</w:t>
      </w:r>
    </w:p>
    <w:p>
      <w:pPr>
        <w:pStyle w:val="0"/>
        <w:jc w:val="center"/>
      </w:pPr>
      <w:r>
        <w:rPr>
          <w:sz w:val="20"/>
        </w:rPr>
        <w:t xml:space="preserve">ГОСУДАРСТВЕННОГО КОНТРОЛЯ (НАДЗОРА) ЗА СОБЛЮДЕНИЕМ</w:t>
      </w:r>
    </w:p>
    <w:p>
      <w:pPr>
        <w:pStyle w:val="0"/>
        <w:jc w:val="center"/>
      </w:pPr>
      <w:r>
        <w:rPr>
          <w:sz w:val="20"/>
        </w:rPr>
        <w:t xml:space="preserve">ТРЕБОВАНИЙ, УСТАНОВЛЕННЫХ ТЕХНИЧЕСКИМИ РЕГЛАМЕНТАМИ</w:t>
      </w:r>
    </w:p>
    <w:p>
      <w:pPr>
        <w:pStyle w:val="0"/>
        <w:jc w:val="center"/>
      </w:pPr>
      <w:r>
        <w:rPr>
          <w:sz w:val="20"/>
        </w:rPr>
        <w:t xml:space="preserve">В ОТНОШЕНИИ КОЛЕСНЫХ ТРАНСПОРТНЫХ СРЕДСТВ (ШАССИ)</w:t>
      </w:r>
    </w:p>
    <w:p>
      <w:pPr>
        <w:pStyle w:val="0"/>
        <w:jc w:val="center"/>
      </w:pPr>
      <w:r>
        <w:rPr>
          <w:sz w:val="20"/>
        </w:rPr>
        <w:t xml:space="preserve">И КОМПОНЕНТОВ ТРАНСПОРТНЫХ СРЕДСТВ (ШАССИ), НАХОДЯЩИХСЯ</w:t>
      </w:r>
    </w:p>
    <w:p>
      <w:pPr>
        <w:pStyle w:val="0"/>
        <w:jc w:val="center"/>
      </w:pPr>
      <w:r>
        <w:rPr>
          <w:sz w:val="20"/>
        </w:rPr>
        <w:t xml:space="preserve">В ОБРАЩЕНИИ (ДО НАЧАЛА ИХ ЭКСПЛУАТАЦИИ), АВТОМОБИЛЬНОГО</w:t>
      </w:r>
    </w:p>
    <w:p>
      <w:pPr>
        <w:pStyle w:val="0"/>
        <w:jc w:val="center"/>
      </w:pPr>
      <w:r>
        <w:rPr>
          <w:sz w:val="20"/>
        </w:rPr>
        <w:t xml:space="preserve">БЕНЗИНА, ДИЗЕЛЬНОГО ТОПЛИВА, СУДОВОГО ТОПЛИВА И МАЗУТА,</w:t>
      </w:r>
    </w:p>
    <w:p>
      <w:pPr>
        <w:pStyle w:val="0"/>
        <w:jc w:val="center"/>
      </w:pPr>
      <w:r>
        <w:rPr>
          <w:sz w:val="20"/>
        </w:rPr>
        <w:t xml:space="preserve">ИЛИ ОБЯЗАТЕЛЬНЫХ ТРЕБОВАНИЙ, ПОДЛЕЖАЩИХ ПРИМЕНЕНИЮ ДО ДНЯ</w:t>
      </w:r>
    </w:p>
    <w:p>
      <w:pPr>
        <w:pStyle w:val="0"/>
        <w:jc w:val="center"/>
      </w:pPr>
      <w:r>
        <w:rPr>
          <w:sz w:val="20"/>
        </w:rPr>
        <w:t xml:space="preserve">ВСТУПЛЕНИЯ В СИЛУ ТЕХНИЧЕСКИХ РЕГЛАМЕНТОВ В СООТВЕТСТВИИ</w:t>
      </w:r>
    </w:p>
    <w:p>
      <w:pPr>
        <w:pStyle w:val="0"/>
        <w:jc w:val="center"/>
      </w:pPr>
      <w:r>
        <w:rPr>
          <w:sz w:val="20"/>
        </w:rPr>
        <w:t xml:space="preserve">С ФЕДЕРАЛЬНЫМ ЗАКОНОМ "О ТЕХНИЧЕСКОМ РЕГУЛИРОВАНИИ",</w:t>
      </w:r>
    </w:p>
    <w:p>
      <w:pPr>
        <w:pStyle w:val="0"/>
        <w:jc w:val="center"/>
      </w:pPr>
      <w:r>
        <w:rPr>
          <w:sz w:val="20"/>
        </w:rPr>
        <w:t xml:space="preserve">В ОТНОШЕНИИ ЭЛЕКТРИЧЕСКОЙ ЭНЕРГИИ В ЭЛЕКТРИЧЕСКИХ СЕТЯХ</w:t>
      </w:r>
    </w:p>
    <w:p>
      <w:pPr>
        <w:pStyle w:val="0"/>
        <w:jc w:val="center"/>
      </w:pPr>
      <w:r>
        <w:rPr>
          <w:sz w:val="20"/>
        </w:rPr>
        <w:t xml:space="preserve">ОБЩЕГО НАЗНАЧЕНИЯ ПЕРЕМЕННОГО ТРЕХФАЗНОГО</w:t>
      </w:r>
    </w:p>
    <w:p>
      <w:pPr>
        <w:pStyle w:val="0"/>
        <w:jc w:val="center"/>
      </w:pPr>
      <w:r>
        <w:rPr>
          <w:sz w:val="20"/>
        </w:rPr>
        <w:t xml:space="preserve">И ОДНОФАЗНОГО ТОКА ЧАСТОТОЙ 50 ГЦ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50"/>
        <w:gridCol w:w="268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635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продукции</w:t>
            </w:r>
          </w:p>
        </w:tc>
        <w:tc>
          <w:tcPr>
            <w:tcW w:w="268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ТН ВЭД ЕАЭС &lt;*&gt;</w:t>
            </w:r>
          </w:p>
        </w:tc>
      </w:tr>
      <w:tr>
        <w:tc>
          <w:tcPr>
            <w:tcW w:w="63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Смеси сухие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строительные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Смеси бетонные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2523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3214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3816 00 000 0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3824 50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7322 11 000 0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7322 19 000 0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биметаллические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7322 19 000 0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7616 99 100 2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алюминиевые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7616 99 100 4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Радиаторы центрального отопления и их секции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7418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7419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чугунные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7322 90 000 9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из прочих металлов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из 7418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7419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7616 99 100 8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7616 99 900 8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Конвекторы отопительные стальные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7322 90 000 9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7323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7325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7326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из 8516</w:t>
            </w:r>
          </w:p>
        </w:tc>
      </w:tr>
      <w:tr>
        <w:tc>
          <w:tcPr>
            <w:tcW w:w="635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Кабели, провода и шнуры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8544 49 910 1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8544 49 910 8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8544 49 950 1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8544 49 950 9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8544 49 990 0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Коды ТН ВЭД ЕАЭС для видов продукции соответствуют кодам ТН ВЭД ЕАЭС, установленным для видов продукции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Решением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28.08.2024 N 1154</w:t>
            <w:br/>
            <w:t>"О внесении изменений в постановление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1186" TargetMode = "External"/>
	<Relationship Id="rId8" Type="http://schemas.openxmlformats.org/officeDocument/2006/relationships/hyperlink" Target="https://login.consultant.ru/link/?req=doc&amp;base=LAW&amp;n=481186&amp;dst=100124" TargetMode = "External"/>
	<Relationship Id="rId9" Type="http://schemas.openxmlformats.org/officeDocument/2006/relationships/hyperlink" Target="https://login.consultant.ru/link/?req=doc&amp;base=LAW&amp;n=481186" TargetMode = "External"/>
	<Relationship Id="rId10" Type="http://schemas.openxmlformats.org/officeDocument/2006/relationships/hyperlink" Target="https://login.consultant.ru/link/?req=doc&amp;base=LAW&amp;n=481186" TargetMode = "External"/>
	<Relationship Id="rId11" Type="http://schemas.openxmlformats.org/officeDocument/2006/relationships/image" Target="media/image2.wmf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28.08.2024 N 1154
"О внесении изменений в постановление Правительства Российской Федерации от 10 марта 2022 г. N 336"</dc:title>
  <dcterms:created xsi:type="dcterms:W3CDTF">2025-01-13T04:55:29Z</dcterms:created>
</cp:coreProperties>
</file>